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Ljungby kommunfullmäktige</w:t>
      </w:r>
    </w:p>
    <w:p>
      <w:pPr>
        <w:pStyle w:val="Heading1"/>
      </w:pPr>
      <w:r>
        <w:t xml:space="preserve">Utökat stöd till elever i behov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Ljungby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Ljungby kommuns grundskolor har meritvärden under länsgenomsnittet enligt Kolada 2025. Elever i utsatta områden behöver tidigare och mer riktat stöd för att nå kunskapsmålen.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Ljungby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två extra speciallärartjänster per låg- och mellanstadieskola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läxhjälp och studiehandledning i samverkan med föreningslivet.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socialnämnden och barn- och utbildningsnämnden ska upprätta gemensam handlingsplan mot skolfrånvaro.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3,2 mnkr i budget 2027 för insatserna.</w:t>
      </w:r>
    </w:p>
    <w:p>
      <w:pPr>
        <w:spacing w:before="360"/>
      </w:pPr>
    </w:p>
    <w:p>
      <w:r>
        <w:t xml:space="preserve">Ljungby,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Ljungby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2026-07-14T00:41:49.743Z</dcterms:created>
  <dcterms:modified xsi:type="dcterms:W3CDTF">2026-07-14T00:41:49.743Z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